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5BA" w:rsidRDefault="0080317B" w:rsidP="00106EF1">
      <w:pPr>
        <w:pStyle w:val="Ttulo1"/>
        <w:rPr>
          <w:lang w:val="es-ES"/>
        </w:rPr>
      </w:pPr>
      <w:r>
        <w:rPr>
          <w:lang w:val="es-ES"/>
        </w:rPr>
        <w:t xml:space="preserve">En declaración de renta año gravable 2025 se podrá usar el nuevo descuento tributario creado con la </w:t>
      </w:r>
      <w:r w:rsidR="008D25BA">
        <w:rPr>
          <w:lang w:val="es-ES"/>
        </w:rPr>
        <w:t>Ley 2380 julio 15 de 2024 que promueve la donación de alimentos</w:t>
      </w:r>
    </w:p>
    <w:p w:rsidR="008D25BA" w:rsidRDefault="00106EF1">
      <w:pPr>
        <w:rPr>
          <w:lang w:val="es-ES"/>
        </w:rPr>
      </w:pPr>
      <w:r>
        <w:rPr>
          <w:noProof/>
          <w:lang w:val="es-ES"/>
        </w:rPr>
        <mc:AlternateContent>
          <mc:Choice Requires="wps">
            <w:drawing>
              <wp:anchor distT="0" distB="0" distL="114300" distR="114300" simplePos="0" relativeHeight="251659264" behindDoc="0" locked="0" layoutInCell="1" allowOverlap="1">
                <wp:simplePos x="0" y="0"/>
                <wp:positionH relativeFrom="column">
                  <wp:posOffset>-3365</wp:posOffset>
                </wp:positionH>
                <wp:positionV relativeFrom="paragraph">
                  <wp:posOffset>126388</wp:posOffset>
                </wp:positionV>
                <wp:extent cx="5393725" cy="1179319"/>
                <wp:effectExtent l="0" t="0" r="16510" b="14605"/>
                <wp:wrapNone/>
                <wp:docPr id="937438693" name="Cuadro de texto 1"/>
                <wp:cNvGraphicFramePr/>
                <a:graphic xmlns:a="http://schemas.openxmlformats.org/drawingml/2006/main">
                  <a:graphicData uri="http://schemas.microsoft.com/office/word/2010/wordprocessingShape">
                    <wps:wsp>
                      <wps:cNvSpPr txBox="1"/>
                      <wps:spPr>
                        <a:xfrm>
                          <a:off x="0" y="0"/>
                          <a:ext cx="5393725" cy="1179319"/>
                        </a:xfrm>
                        <a:prstGeom prst="rect">
                          <a:avLst/>
                        </a:prstGeom>
                        <a:solidFill>
                          <a:schemeClr val="lt1"/>
                        </a:solidFill>
                        <a:ln w="6350">
                          <a:solidFill>
                            <a:prstClr val="black"/>
                          </a:solidFill>
                        </a:ln>
                      </wps:spPr>
                      <wps:txbx>
                        <w:txbxContent>
                          <w:p w:rsidR="00106EF1" w:rsidRPr="00106EF1" w:rsidRDefault="00677C8D">
                            <w:pPr>
                              <w:rPr>
                                <w:lang w:val="es-ES"/>
                              </w:rPr>
                            </w:pPr>
                            <w:r>
                              <w:rPr>
                                <w:lang w:val="es-ES"/>
                              </w:rPr>
                              <w:t xml:space="preserve">Dicha Ley modificó el artículo 257 del ET para permitir descontar, no el 25%, sino hasta el 37% de los </w:t>
                            </w:r>
                            <w:r w:rsidR="00106EF1">
                              <w:rPr>
                                <w:lang w:val="es-ES"/>
                              </w:rPr>
                              <w:t xml:space="preserve">alimentos para el consumo humano o </w:t>
                            </w:r>
                            <w:r>
                              <w:rPr>
                                <w:lang w:val="es-ES"/>
                              </w:rPr>
                              <w:t>e</w:t>
                            </w:r>
                            <w:r w:rsidR="00106EF1">
                              <w:rPr>
                                <w:lang w:val="es-ES"/>
                              </w:rPr>
                              <w:t>lementos de higiene y aseo</w:t>
                            </w:r>
                            <w:r>
                              <w:rPr>
                                <w:lang w:val="es-ES"/>
                              </w:rPr>
                              <w:t xml:space="preserve"> que se donen a los bancos de alimentos que funcionen bajo el régimen tributario especial</w:t>
                            </w:r>
                            <w:r w:rsidR="00106EF1">
                              <w:rPr>
                                <w:lang w:val="es-ES"/>
                              </w:rPr>
                              <w:t xml:space="preserve">. </w:t>
                            </w:r>
                            <w:r>
                              <w:rPr>
                                <w:lang w:val="es-ES"/>
                              </w:rPr>
                              <w:t>La misma Ley también</w:t>
                            </w:r>
                            <w:r w:rsidR="00106EF1">
                              <w:rPr>
                                <w:lang w:val="es-ES"/>
                              </w:rPr>
                              <w:t xml:space="preserve"> modificó el artículo 424 del ET para establecer que la donación de elementos de higiene y aseo se </w:t>
                            </w:r>
                            <w:r>
                              <w:rPr>
                                <w:lang w:val="es-ES"/>
                              </w:rPr>
                              <w:t xml:space="preserve">consideran </w:t>
                            </w:r>
                            <w:r w:rsidR="00106EF1">
                              <w:rPr>
                                <w:lang w:val="es-ES"/>
                              </w:rPr>
                              <w:t>como operaciones excluidas del 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25pt;margin-top:9.95pt;width:424.7pt;height:9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" fillcolor="white [3201]" strokeweight=".5pt">
                <v:textbox>
                  <w:txbxContent>
                    <w:p w:rsidR="00106EF1" w:rsidRPr="00106EF1" w:rsidRDefault="00677C8D">
                      <w:pPr>
                        <w:rPr>
                          <w:lang w:val="es-ES"/>
                        </w:rPr>
                      </w:pPr>
                      <w:r>
                        <w:rPr>
                          <w:lang w:val="es-ES"/>
                        </w:rPr>
                        <w:t xml:space="preserve">Dicha Ley modificó el artículo 257 del ET para permitir descontar, no el 25%, sino hasta el 37% de los </w:t>
                      </w:r>
                      <w:r w:rsidR="00106EF1">
                        <w:rPr>
                          <w:lang w:val="es-ES"/>
                        </w:rPr>
                        <w:t xml:space="preserve">alimentos para el consumo humano o </w:t>
                      </w:r>
                      <w:r>
                        <w:rPr>
                          <w:lang w:val="es-ES"/>
                        </w:rPr>
                        <w:t>e</w:t>
                      </w:r>
                      <w:r w:rsidR="00106EF1">
                        <w:rPr>
                          <w:lang w:val="es-ES"/>
                        </w:rPr>
                        <w:t>lementos de higiene y aseo</w:t>
                      </w:r>
                      <w:r>
                        <w:rPr>
                          <w:lang w:val="es-ES"/>
                        </w:rPr>
                        <w:t xml:space="preserve"> que se donen a los bancos de alimentos que funcionen bajo el régimen tributario especial</w:t>
                      </w:r>
                      <w:r w:rsidR="00106EF1">
                        <w:rPr>
                          <w:lang w:val="es-ES"/>
                        </w:rPr>
                        <w:t xml:space="preserve">. </w:t>
                      </w:r>
                      <w:r>
                        <w:rPr>
                          <w:lang w:val="es-ES"/>
                        </w:rPr>
                        <w:t>La misma Ley también</w:t>
                      </w:r>
                      <w:r w:rsidR="00106EF1">
                        <w:rPr>
                          <w:lang w:val="es-ES"/>
                        </w:rPr>
                        <w:t xml:space="preserve"> modificó el artículo 424 del ET para establecer que la donación de elementos de higiene y aseo se </w:t>
                      </w:r>
                      <w:r>
                        <w:rPr>
                          <w:lang w:val="es-ES"/>
                        </w:rPr>
                        <w:t xml:space="preserve">consideran </w:t>
                      </w:r>
                      <w:r w:rsidR="00106EF1">
                        <w:rPr>
                          <w:lang w:val="es-ES"/>
                        </w:rPr>
                        <w:t>como operaciones excluidas del IVA</w:t>
                      </w:r>
                    </w:p>
                  </w:txbxContent>
                </v:textbox>
              </v:shape>
            </w:pict>
          </mc:Fallback>
        </mc:AlternateContent>
      </w:r>
    </w:p>
    <w:p w:rsidR="00106EF1" w:rsidRDefault="00106EF1">
      <w:pPr>
        <w:rPr>
          <w:lang w:val="es-ES"/>
        </w:rPr>
      </w:pPr>
    </w:p>
    <w:p w:rsidR="00106EF1" w:rsidRDefault="00106EF1">
      <w:pPr>
        <w:rPr>
          <w:lang w:val="es-ES"/>
        </w:rPr>
      </w:pPr>
    </w:p>
    <w:p w:rsidR="004045DE" w:rsidRDefault="004045DE">
      <w:pPr>
        <w:rPr>
          <w:lang w:val="es-ES"/>
        </w:rPr>
      </w:pPr>
    </w:p>
    <w:p w:rsidR="00106EF1" w:rsidRDefault="00106EF1">
      <w:pPr>
        <w:rPr>
          <w:lang w:val="es-ES"/>
        </w:rPr>
      </w:pPr>
    </w:p>
    <w:p w:rsidR="00106EF1" w:rsidRDefault="00106EF1">
      <w:pPr>
        <w:rPr>
          <w:lang w:val="es-ES"/>
        </w:rPr>
      </w:pPr>
    </w:p>
    <w:p w:rsidR="00106EF1" w:rsidRDefault="00106EF1">
      <w:pPr>
        <w:rPr>
          <w:lang w:val="es-ES"/>
        </w:rPr>
      </w:pPr>
    </w:p>
    <w:p w:rsidR="007847EB" w:rsidRDefault="007847EB">
      <w:r>
        <w:rPr>
          <w:lang w:val="es-ES"/>
        </w:rPr>
        <w:t xml:space="preserve">En julio de 2024, </w:t>
      </w:r>
      <w:hyperlink r:id="rId4" w:history="1">
        <w:r w:rsidRPr="007847EB">
          <w:rPr>
            <w:rStyle w:val="Hipervnculo"/>
            <w:lang w:val="es-ES"/>
          </w:rPr>
          <w:t>mediane el artículo 2 de la Ley 2380</w:t>
        </w:r>
      </w:hyperlink>
      <w:r>
        <w:rPr>
          <w:lang w:val="es-ES"/>
        </w:rPr>
        <w:t xml:space="preserve">, se efectuó una importante modificación al </w:t>
      </w:r>
      <w:hyperlink r:id="rId5" w:anchor="257" w:history="1">
        <w:r w:rsidRPr="007847EB">
          <w:rPr>
            <w:rStyle w:val="Hipervnculo"/>
            <w:lang w:val="es-ES"/>
          </w:rPr>
          <w:t>artículo 257 del ET</w:t>
        </w:r>
      </w:hyperlink>
      <w:r>
        <w:rPr>
          <w:lang w:val="es-ES"/>
        </w:rPr>
        <w:t>, el cual regula la descuento en el impuesto de renta por donaciones realizadas a entidades del régimen especial y a las entidades no contribuyentes</w:t>
      </w:r>
    </w:p>
    <w:p w:rsidR="007847EB" w:rsidRDefault="007847EB"/>
    <w:p w:rsidR="00363C7E" w:rsidRDefault="007847EB">
      <w:r>
        <w:t>Para repasar cuál fue dicha modificación, a continuación presentamos la versión comparativa del texto d</w:t>
      </w:r>
      <w:r w:rsidR="00363C7E">
        <w:t xml:space="preserve">el </w:t>
      </w:r>
      <w:hyperlink r:id="rId6" w:anchor="257" w:history="1">
        <w:r w:rsidR="00363C7E" w:rsidRPr="003F7D27">
          <w:rPr>
            <w:rStyle w:val="Hipervnculo"/>
          </w:rPr>
          <w:t>artículo 257 del ET</w:t>
        </w:r>
      </w:hyperlink>
      <w:r w:rsidR="00363C7E">
        <w:t xml:space="preserve"> </w:t>
      </w:r>
      <w:r>
        <w:t>antes y después de ser modificado con la Ley 2380 de 2024</w:t>
      </w:r>
      <w:r w:rsidR="00363C7E">
        <w:t xml:space="preserve"> (los subrayados son nuestros)</w:t>
      </w:r>
    </w:p>
    <w:p w:rsidR="00363C7E" w:rsidRDefault="00363C7E"/>
    <w:tbl>
      <w:tblPr>
        <w:tblStyle w:val="Tablaconcuadrcula"/>
        <w:tblW w:w="0" w:type="auto"/>
        <w:tblLook w:val="04A0" w:firstRow="1" w:lastRow="0" w:firstColumn="1" w:lastColumn="0" w:noHBand="0" w:noVBand="1"/>
      </w:tblPr>
      <w:tblGrid>
        <w:gridCol w:w="4414"/>
        <w:gridCol w:w="4414"/>
      </w:tblGrid>
      <w:tr w:rsidR="00363C7E" w:rsidTr="00363C7E">
        <w:tc>
          <w:tcPr>
            <w:tcW w:w="4414" w:type="dxa"/>
          </w:tcPr>
          <w:p w:rsidR="00363C7E" w:rsidRPr="003F7D27" w:rsidRDefault="00363C7E" w:rsidP="003F7D27">
            <w:pPr>
              <w:jc w:val="center"/>
              <w:rPr>
                <w:b/>
                <w:bCs/>
                <w:lang w:val="es-ES"/>
              </w:rPr>
            </w:pPr>
            <w:r w:rsidRPr="003F7D27">
              <w:rPr>
                <w:b/>
                <w:bCs/>
                <w:lang w:val="es-ES"/>
              </w:rPr>
              <w:t>Versión anterior de la norma</w:t>
            </w:r>
          </w:p>
        </w:tc>
        <w:tc>
          <w:tcPr>
            <w:tcW w:w="4414" w:type="dxa"/>
          </w:tcPr>
          <w:p w:rsidR="00363C7E" w:rsidRPr="003F7D27" w:rsidRDefault="00363C7E" w:rsidP="003F7D27">
            <w:pPr>
              <w:jc w:val="center"/>
              <w:rPr>
                <w:b/>
                <w:bCs/>
                <w:lang w:val="es-ES"/>
              </w:rPr>
            </w:pPr>
            <w:r w:rsidRPr="003F7D27">
              <w:rPr>
                <w:b/>
                <w:bCs/>
                <w:lang w:val="es-ES"/>
              </w:rPr>
              <w:t>Nueva versión de la norma</w:t>
            </w:r>
          </w:p>
        </w:tc>
      </w:tr>
      <w:tr w:rsidR="00B011B5" w:rsidTr="00363C7E">
        <w:tc>
          <w:tcPr>
            <w:tcW w:w="4414" w:type="dxa"/>
          </w:tcPr>
          <w:p w:rsidR="00B011B5" w:rsidRPr="00B011B5" w:rsidRDefault="00B011B5" w:rsidP="00B011B5">
            <w:pPr>
              <w:jc w:val="both"/>
              <w:rPr>
                <w:i/>
                <w:iCs/>
                <w:color w:val="0070C0"/>
                <w:sz w:val="20"/>
                <w:szCs w:val="20"/>
              </w:rPr>
            </w:pPr>
            <w:bookmarkStart w:id="0" w:name="257"/>
            <w:r>
              <w:rPr>
                <w:b/>
                <w:bCs/>
                <w:i/>
                <w:iCs/>
                <w:color w:val="0070C0"/>
                <w:sz w:val="20"/>
                <w:szCs w:val="20"/>
              </w:rPr>
              <w:t>“</w:t>
            </w:r>
            <w:r w:rsidRPr="00B011B5">
              <w:rPr>
                <w:b/>
                <w:bCs/>
                <w:i/>
                <w:iCs/>
                <w:color w:val="0070C0"/>
                <w:sz w:val="20"/>
                <w:szCs w:val="20"/>
              </w:rPr>
              <w:t>ARTÍCULO 257. DESCUENTO POR DONACIONES A ENTIDADES SIN ÁNIMO DE LUCRO PERTENECIENTES AL RÉGIMEN ESPECIAL</w:t>
            </w:r>
            <w:r w:rsidRPr="00B011B5">
              <w:rPr>
                <w:i/>
                <w:iCs/>
                <w:color w:val="0070C0"/>
                <w:sz w:val="20"/>
                <w:szCs w:val="20"/>
              </w:rPr>
              <w:t>.</w:t>
            </w:r>
            <w:bookmarkEnd w:id="0"/>
            <w:r w:rsidRPr="00B011B5">
              <w:rPr>
                <w:i/>
                <w:iCs/>
                <w:color w:val="0070C0"/>
                <w:sz w:val="20"/>
                <w:szCs w:val="20"/>
              </w:rPr>
              <w:t>  Las donaciones efectuadas a entidades sin ánimo de lucro que hayan sido calificadas en el régimen especial del impuesto sobre la renta y complementarios y a las entidades no contribuyentes de que tratan los artículos </w:t>
            </w:r>
            <w:hyperlink r:id="rId7" w:anchor="22" w:history="1">
              <w:r w:rsidRPr="00B011B5">
                <w:rPr>
                  <w:i/>
                  <w:iCs/>
                  <w:color w:val="0070C0"/>
                  <w:sz w:val="20"/>
                  <w:szCs w:val="20"/>
                </w:rPr>
                <w:t>22</w:t>
              </w:r>
            </w:hyperlink>
            <w:r w:rsidRPr="00B011B5">
              <w:rPr>
                <w:i/>
                <w:iCs/>
                <w:color w:val="0070C0"/>
                <w:sz w:val="20"/>
                <w:szCs w:val="20"/>
              </w:rPr>
              <w:t> y </w:t>
            </w:r>
            <w:hyperlink r:id="rId8" w:anchor="23" w:history="1">
              <w:r w:rsidRPr="00B011B5">
                <w:rPr>
                  <w:i/>
                  <w:iCs/>
                  <w:color w:val="0070C0"/>
                  <w:sz w:val="20"/>
                  <w:szCs w:val="20"/>
                </w:rPr>
                <w:t>23</w:t>
              </w:r>
            </w:hyperlink>
            <w:r w:rsidRPr="00B011B5">
              <w:rPr>
                <w:i/>
                <w:iCs/>
                <w:color w:val="0070C0"/>
                <w:sz w:val="20"/>
                <w:szCs w:val="20"/>
              </w:rPr>
              <w:t> del Estatuto Tributario, no serán deducibles del impuesto sobre la renta y complementarios, pero darán lugar a un descuento del impuesto sobre la renta y complementarios, equivalente al 25% del valor donado en el año o período gravable. El Gobierno nacional reglamentará los requisitos para que proceda este descuento.</w:t>
            </w:r>
          </w:p>
          <w:p w:rsidR="00B011B5" w:rsidRDefault="00B011B5" w:rsidP="00B011B5">
            <w:pPr>
              <w:jc w:val="both"/>
              <w:rPr>
                <w:i/>
                <w:iCs/>
                <w:color w:val="0070C0"/>
                <w:sz w:val="20"/>
                <w:szCs w:val="20"/>
              </w:rPr>
            </w:pPr>
          </w:p>
          <w:p w:rsidR="00B011B5" w:rsidRDefault="00B011B5" w:rsidP="00B011B5">
            <w:pPr>
              <w:jc w:val="both"/>
              <w:rPr>
                <w:i/>
                <w:iCs/>
                <w:color w:val="0070C0"/>
                <w:sz w:val="20"/>
                <w:szCs w:val="20"/>
              </w:rPr>
            </w:pPr>
          </w:p>
          <w:p w:rsidR="00B011B5" w:rsidRPr="00B011B5" w:rsidRDefault="00B011B5" w:rsidP="00B011B5">
            <w:pPr>
              <w:jc w:val="both"/>
              <w:rPr>
                <w:i/>
                <w:iCs/>
                <w:color w:val="0070C0"/>
                <w:sz w:val="20"/>
                <w:szCs w:val="20"/>
              </w:rPr>
            </w:pPr>
            <w:r w:rsidRPr="00B011B5">
              <w:rPr>
                <w:i/>
                <w:iCs/>
                <w:color w:val="0070C0"/>
                <w:sz w:val="20"/>
                <w:szCs w:val="20"/>
              </w:rPr>
              <w:t>PARÁGRAFO. Las donaciones de que trata el artículo </w:t>
            </w:r>
            <w:hyperlink r:id="rId9" w:anchor="125" w:history="1">
              <w:r w:rsidRPr="00B011B5">
                <w:rPr>
                  <w:i/>
                  <w:iCs/>
                  <w:color w:val="0070C0"/>
                  <w:sz w:val="20"/>
                  <w:szCs w:val="20"/>
                </w:rPr>
                <w:t>125</w:t>
              </w:r>
            </w:hyperlink>
            <w:r w:rsidRPr="00B011B5">
              <w:rPr>
                <w:i/>
                <w:iCs/>
                <w:color w:val="0070C0"/>
                <w:sz w:val="20"/>
                <w:szCs w:val="20"/>
              </w:rPr>
              <w:t> del Estatuto Tributario también darán lugar al descuento previsto en este artículo.</w:t>
            </w:r>
          </w:p>
          <w:p w:rsidR="00B011B5" w:rsidRDefault="00B011B5" w:rsidP="00B011B5">
            <w:pPr>
              <w:jc w:val="both"/>
              <w:rPr>
                <w:i/>
                <w:iCs/>
                <w:color w:val="0070C0"/>
                <w:sz w:val="20"/>
                <w:szCs w:val="20"/>
              </w:rPr>
            </w:pPr>
          </w:p>
          <w:p w:rsidR="00B011B5" w:rsidRDefault="00B011B5" w:rsidP="00B011B5">
            <w:pPr>
              <w:jc w:val="both"/>
              <w:rPr>
                <w:i/>
                <w:iCs/>
                <w:color w:val="0070C0"/>
                <w:sz w:val="20"/>
                <w:szCs w:val="20"/>
              </w:rPr>
            </w:pPr>
            <w:r w:rsidRPr="00B011B5">
              <w:rPr>
                <w:i/>
                <w:iCs/>
                <w:color w:val="0070C0"/>
                <w:sz w:val="20"/>
                <w:szCs w:val="20"/>
              </w:rPr>
              <w:t xml:space="preserve">PARÁGRAFO 2.  Todos los usuarios de las entidades financieras vigiladas por la Superintendencia Financiera de Colombia tendrán la posibilidad de efectuar donaciones para el financiamiento y sostenimiento de las Instituciones de Educación </w:t>
            </w:r>
            <w:r w:rsidRPr="00B011B5">
              <w:rPr>
                <w:i/>
                <w:iCs/>
                <w:color w:val="0070C0"/>
                <w:sz w:val="20"/>
                <w:szCs w:val="20"/>
              </w:rPr>
              <w:lastRenderedPageBreak/>
              <w:t>Superior Públicas a través de los cajeros automáticos, páginas web y plataformas digitales pertenecientes a dichas entidades financieras, quienes emitirán los certificados de donación a fin de que los donantes puedan tomar el descuento tributario en los términos previstos en los artículos </w:t>
            </w:r>
            <w:hyperlink r:id="rId10" w:anchor="257" w:history="1">
              <w:r w:rsidRPr="00B011B5">
                <w:rPr>
                  <w:i/>
                  <w:iCs/>
                  <w:color w:val="0070C0"/>
                  <w:sz w:val="20"/>
                  <w:szCs w:val="20"/>
                </w:rPr>
                <w:t>257</w:t>
              </w:r>
            </w:hyperlink>
            <w:r w:rsidRPr="00B011B5">
              <w:rPr>
                <w:i/>
                <w:iCs/>
                <w:color w:val="0070C0"/>
                <w:sz w:val="20"/>
                <w:szCs w:val="20"/>
              </w:rPr>
              <w:t> y </w:t>
            </w:r>
            <w:hyperlink r:id="rId11" w:anchor="258" w:history="1">
              <w:r w:rsidRPr="00B011B5">
                <w:rPr>
                  <w:i/>
                  <w:iCs/>
                  <w:color w:val="0070C0"/>
                  <w:sz w:val="20"/>
                  <w:szCs w:val="20"/>
                </w:rPr>
                <w:t>258</w:t>
              </w:r>
            </w:hyperlink>
            <w:r w:rsidRPr="00B011B5">
              <w:rPr>
                <w:i/>
                <w:iCs/>
                <w:color w:val="0070C0"/>
                <w:sz w:val="20"/>
                <w:szCs w:val="20"/>
              </w:rPr>
              <w:t> del Estatuto Tributario. La Dirección de Impuestos y Aduanas Nacionales (DIAN) mediante resolución reglamentará lo dispuesto en este artículo.</w:t>
            </w:r>
            <w:r>
              <w:rPr>
                <w:i/>
                <w:iCs/>
                <w:color w:val="0070C0"/>
                <w:sz w:val="20"/>
                <w:szCs w:val="20"/>
              </w:rPr>
              <w:t>”</w:t>
            </w:r>
          </w:p>
          <w:p w:rsidR="00B011B5" w:rsidRDefault="00B011B5" w:rsidP="00B011B5">
            <w:pPr>
              <w:jc w:val="both"/>
              <w:rPr>
                <w:i/>
                <w:iCs/>
                <w:color w:val="0070C0"/>
                <w:sz w:val="20"/>
                <w:szCs w:val="20"/>
              </w:rPr>
            </w:pPr>
          </w:p>
          <w:p w:rsidR="00B011B5" w:rsidRPr="00B011B5" w:rsidRDefault="00B011B5" w:rsidP="00B011B5">
            <w:pPr>
              <w:jc w:val="both"/>
              <w:rPr>
                <w:i/>
                <w:iCs/>
                <w:color w:val="0070C0"/>
                <w:sz w:val="20"/>
                <w:szCs w:val="20"/>
              </w:rPr>
            </w:pPr>
          </w:p>
          <w:p w:rsidR="00B011B5" w:rsidRPr="00B011B5" w:rsidRDefault="00B011B5" w:rsidP="00B011B5">
            <w:pPr>
              <w:jc w:val="both"/>
              <w:rPr>
                <w:i/>
                <w:iCs/>
                <w:color w:val="0070C0"/>
                <w:sz w:val="20"/>
                <w:szCs w:val="20"/>
              </w:rPr>
            </w:pPr>
          </w:p>
        </w:tc>
        <w:tc>
          <w:tcPr>
            <w:tcW w:w="4414" w:type="dxa"/>
          </w:tcPr>
          <w:p w:rsidR="00B011B5" w:rsidRPr="00B011B5" w:rsidRDefault="00B011B5" w:rsidP="00B011B5">
            <w:pPr>
              <w:jc w:val="both"/>
              <w:rPr>
                <w:i/>
                <w:iCs/>
                <w:color w:val="0070C0"/>
                <w:sz w:val="20"/>
                <w:szCs w:val="20"/>
              </w:rPr>
            </w:pPr>
            <w:r>
              <w:rPr>
                <w:b/>
                <w:bCs/>
                <w:i/>
                <w:iCs/>
                <w:color w:val="0070C0"/>
                <w:sz w:val="20"/>
                <w:szCs w:val="20"/>
              </w:rPr>
              <w:lastRenderedPageBreak/>
              <w:t>“</w:t>
            </w:r>
            <w:r w:rsidRPr="00B011B5">
              <w:rPr>
                <w:b/>
                <w:bCs/>
                <w:i/>
                <w:iCs/>
                <w:color w:val="0070C0"/>
                <w:sz w:val="20"/>
                <w:szCs w:val="20"/>
              </w:rPr>
              <w:t>ARTÍCULO 257. DESCUENTO POR DONACIONES A ENTIDADES SIN ÁNIMO DE LUCRO PERTENECIENTES AL RÉGIMEN ESPECIAL</w:t>
            </w:r>
            <w:r>
              <w:rPr>
                <w:b/>
                <w:bCs/>
                <w:i/>
                <w:iCs/>
                <w:color w:val="0070C0"/>
                <w:sz w:val="20"/>
                <w:szCs w:val="20"/>
              </w:rPr>
              <w:t xml:space="preserve"> </w:t>
            </w:r>
            <w:r w:rsidRPr="00B011B5">
              <w:rPr>
                <w:b/>
                <w:bCs/>
                <w:i/>
                <w:iCs/>
                <w:color w:val="FF0000"/>
                <w:sz w:val="20"/>
                <w:szCs w:val="20"/>
              </w:rPr>
              <w:t>(modificado con art. 2 de la. Ley 2380 de julio 15 de 2024)</w:t>
            </w:r>
            <w:r w:rsidRPr="00B011B5">
              <w:rPr>
                <w:i/>
                <w:iCs/>
                <w:color w:val="FF0000"/>
                <w:sz w:val="20"/>
                <w:szCs w:val="20"/>
              </w:rPr>
              <w:t xml:space="preserve">.  </w:t>
            </w:r>
            <w:r w:rsidRPr="00B011B5">
              <w:rPr>
                <w:i/>
                <w:iCs/>
                <w:color w:val="0070C0"/>
                <w:sz w:val="20"/>
                <w:szCs w:val="20"/>
              </w:rPr>
              <w:t>Las donaciones efectuadas a entidades sin ánimo de lucro que hayan sido calificadas en el régimen especial del impuesto sobre la renta y complementarios y a las entidades no contribuyentes de que tratan los artículos </w:t>
            </w:r>
            <w:hyperlink r:id="rId12" w:anchor="22" w:history="1">
              <w:r w:rsidRPr="00B011B5">
                <w:rPr>
                  <w:i/>
                  <w:iCs/>
                  <w:color w:val="0070C0"/>
                  <w:sz w:val="20"/>
                  <w:szCs w:val="20"/>
                </w:rPr>
                <w:t>22</w:t>
              </w:r>
            </w:hyperlink>
            <w:r w:rsidRPr="00B011B5">
              <w:rPr>
                <w:i/>
                <w:iCs/>
                <w:color w:val="0070C0"/>
                <w:sz w:val="20"/>
                <w:szCs w:val="20"/>
              </w:rPr>
              <w:t> y </w:t>
            </w:r>
            <w:hyperlink r:id="rId13" w:anchor="23" w:history="1">
              <w:r w:rsidRPr="00B011B5">
                <w:rPr>
                  <w:i/>
                  <w:iCs/>
                  <w:color w:val="0070C0"/>
                  <w:sz w:val="20"/>
                  <w:szCs w:val="20"/>
                </w:rPr>
                <w:t>23</w:t>
              </w:r>
            </w:hyperlink>
            <w:r w:rsidRPr="00B011B5">
              <w:rPr>
                <w:i/>
                <w:iCs/>
                <w:color w:val="0070C0"/>
                <w:sz w:val="20"/>
                <w:szCs w:val="20"/>
              </w:rPr>
              <w:t> del Estatuto Tributario, no serán deducibles del impuesto sobre la renta y complementarios, pero darán lugar a un descuento del impuesto sobre la renta y complementarios, equivalente al 25% del valor donado en el año o período gravable. El Gobierno nacional reglamentará los requisitos para que proceda este descuento.</w:t>
            </w:r>
          </w:p>
          <w:p w:rsidR="00B011B5" w:rsidRDefault="00B011B5" w:rsidP="00B011B5">
            <w:pPr>
              <w:jc w:val="both"/>
              <w:rPr>
                <w:i/>
                <w:iCs/>
                <w:color w:val="0070C0"/>
                <w:sz w:val="20"/>
                <w:szCs w:val="20"/>
              </w:rPr>
            </w:pPr>
          </w:p>
          <w:p w:rsidR="00B011B5" w:rsidRPr="00B011B5" w:rsidRDefault="00B011B5" w:rsidP="00B011B5">
            <w:pPr>
              <w:jc w:val="both"/>
              <w:rPr>
                <w:i/>
                <w:iCs/>
                <w:color w:val="0070C0"/>
                <w:sz w:val="20"/>
                <w:szCs w:val="20"/>
              </w:rPr>
            </w:pPr>
            <w:r w:rsidRPr="00B011B5">
              <w:rPr>
                <w:i/>
                <w:iCs/>
                <w:color w:val="0070C0"/>
                <w:sz w:val="20"/>
                <w:szCs w:val="20"/>
              </w:rPr>
              <w:t>PARÁGRAFO. Las donaciones de que trata el artículo </w:t>
            </w:r>
            <w:hyperlink r:id="rId14" w:anchor="125" w:history="1">
              <w:r w:rsidRPr="00B011B5">
                <w:rPr>
                  <w:i/>
                  <w:iCs/>
                  <w:color w:val="0070C0"/>
                  <w:sz w:val="20"/>
                  <w:szCs w:val="20"/>
                </w:rPr>
                <w:t>125</w:t>
              </w:r>
            </w:hyperlink>
            <w:r w:rsidRPr="00B011B5">
              <w:rPr>
                <w:i/>
                <w:iCs/>
                <w:color w:val="0070C0"/>
                <w:sz w:val="20"/>
                <w:szCs w:val="20"/>
              </w:rPr>
              <w:t> del Estatuto Tributario también darán lugar al descuento previsto en este artículo.</w:t>
            </w:r>
          </w:p>
          <w:p w:rsidR="00B011B5" w:rsidRDefault="00B011B5" w:rsidP="00B011B5">
            <w:pPr>
              <w:jc w:val="both"/>
              <w:rPr>
                <w:i/>
                <w:iCs/>
                <w:color w:val="0070C0"/>
                <w:sz w:val="20"/>
                <w:szCs w:val="20"/>
              </w:rPr>
            </w:pPr>
          </w:p>
          <w:p w:rsidR="00B011B5" w:rsidRDefault="00B011B5" w:rsidP="00B011B5">
            <w:pPr>
              <w:jc w:val="both"/>
              <w:rPr>
                <w:i/>
                <w:iCs/>
                <w:color w:val="0070C0"/>
                <w:sz w:val="20"/>
                <w:szCs w:val="20"/>
              </w:rPr>
            </w:pPr>
            <w:r w:rsidRPr="00B011B5">
              <w:rPr>
                <w:i/>
                <w:iCs/>
                <w:color w:val="0070C0"/>
                <w:sz w:val="20"/>
                <w:szCs w:val="20"/>
              </w:rPr>
              <w:t xml:space="preserve">PARÁGRAFO 2.  Todos los usuarios de las entidades financieras vigiladas por la Superintendencia Financiera de Colombia tendrán la posibilidad de efectuar donaciones para el financiamiento y sostenimiento de las Instituciones de Educación </w:t>
            </w:r>
            <w:r w:rsidRPr="00B011B5">
              <w:rPr>
                <w:i/>
                <w:iCs/>
                <w:color w:val="0070C0"/>
                <w:sz w:val="20"/>
                <w:szCs w:val="20"/>
              </w:rPr>
              <w:lastRenderedPageBreak/>
              <w:t>Superior Públicas a través de los cajeros automáticos, páginas web y plataformas digitales pertenecientes a dichas entidades financieras, quienes emitirán los certificados de donación a fin de que los donantes puedan tomar el descuento tributario en los términos previstos en los artículos </w:t>
            </w:r>
            <w:hyperlink r:id="rId15" w:anchor="257" w:history="1">
              <w:r w:rsidRPr="00B011B5">
                <w:rPr>
                  <w:i/>
                  <w:iCs/>
                  <w:color w:val="0070C0"/>
                  <w:sz w:val="20"/>
                  <w:szCs w:val="20"/>
                </w:rPr>
                <w:t>257</w:t>
              </w:r>
            </w:hyperlink>
            <w:r w:rsidRPr="00B011B5">
              <w:rPr>
                <w:i/>
                <w:iCs/>
                <w:color w:val="0070C0"/>
                <w:sz w:val="20"/>
                <w:szCs w:val="20"/>
              </w:rPr>
              <w:t> y </w:t>
            </w:r>
            <w:hyperlink r:id="rId16" w:anchor="258" w:history="1">
              <w:r w:rsidRPr="00B011B5">
                <w:rPr>
                  <w:i/>
                  <w:iCs/>
                  <w:color w:val="0070C0"/>
                  <w:sz w:val="20"/>
                  <w:szCs w:val="20"/>
                </w:rPr>
                <w:t>258</w:t>
              </w:r>
            </w:hyperlink>
            <w:r w:rsidRPr="00B011B5">
              <w:rPr>
                <w:i/>
                <w:iCs/>
                <w:color w:val="0070C0"/>
                <w:sz w:val="20"/>
                <w:szCs w:val="20"/>
              </w:rPr>
              <w:t> del Estatuto Tributario. La Dirección de Impuestos y Aduanas Nacionales (DIAN) mediante resolución reglamentará lo dispuesto en este artículo.</w:t>
            </w:r>
          </w:p>
          <w:p w:rsidR="00E5128B" w:rsidRDefault="00E5128B" w:rsidP="00B011B5">
            <w:pPr>
              <w:jc w:val="both"/>
              <w:rPr>
                <w:i/>
                <w:iCs/>
                <w:color w:val="0070C0"/>
                <w:sz w:val="20"/>
                <w:szCs w:val="20"/>
              </w:rPr>
            </w:pPr>
          </w:p>
          <w:p w:rsidR="00E5128B" w:rsidRDefault="00E5128B" w:rsidP="00B011B5">
            <w:pPr>
              <w:jc w:val="both"/>
              <w:rPr>
                <w:i/>
                <w:iCs/>
                <w:color w:val="0070C0"/>
                <w:sz w:val="20"/>
                <w:szCs w:val="20"/>
                <w:u w:val="single"/>
              </w:rPr>
            </w:pPr>
            <w:r w:rsidRPr="00E5128B">
              <w:rPr>
                <w:i/>
                <w:iCs/>
                <w:color w:val="0070C0"/>
                <w:sz w:val="20"/>
                <w:szCs w:val="20"/>
              </w:rPr>
              <w:t xml:space="preserve">Parágrafo l. </w:t>
            </w:r>
            <w:r w:rsidRPr="00E5128B">
              <w:rPr>
                <w:i/>
                <w:iCs/>
                <w:color w:val="0070C0"/>
                <w:sz w:val="20"/>
                <w:szCs w:val="20"/>
                <w:u w:val="single"/>
              </w:rPr>
              <w:t>Las donaciones d</w:t>
            </w:r>
            <w:r>
              <w:rPr>
                <w:i/>
                <w:iCs/>
                <w:color w:val="0070C0"/>
                <w:sz w:val="20"/>
                <w:szCs w:val="20"/>
                <w:u w:val="single"/>
              </w:rPr>
              <w:t>e</w:t>
            </w:r>
            <w:r w:rsidRPr="00E5128B">
              <w:rPr>
                <w:i/>
                <w:iCs/>
                <w:color w:val="0070C0"/>
                <w:sz w:val="20"/>
                <w:szCs w:val="20"/>
                <w:u w:val="single"/>
              </w:rPr>
              <w:t xml:space="preserve"> alimentos aptos para el consumo humano as</w:t>
            </w:r>
            <w:r>
              <w:rPr>
                <w:i/>
                <w:iCs/>
                <w:color w:val="0070C0"/>
                <w:sz w:val="20"/>
                <w:szCs w:val="20"/>
                <w:u w:val="single"/>
              </w:rPr>
              <w:t>í</w:t>
            </w:r>
            <w:r w:rsidRPr="00E5128B">
              <w:rPr>
                <w:i/>
                <w:iCs/>
                <w:color w:val="0070C0"/>
                <w:sz w:val="20"/>
                <w:szCs w:val="20"/>
                <w:u w:val="single"/>
              </w:rPr>
              <w:t xml:space="preserve"> como bienes de higiene y aseo, a los bancos de alimentos que se encuentren constituidos como entidades sin </w:t>
            </w:r>
            <w:r>
              <w:rPr>
                <w:i/>
                <w:iCs/>
                <w:color w:val="0070C0"/>
                <w:sz w:val="20"/>
                <w:szCs w:val="20"/>
                <w:u w:val="single"/>
              </w:rPr>
              <w:t>á</w:t>
            </w:r>
            <w:r w:rsidRPr="00E5128B">
              <w:rPr>
                <w:i/>
                <w:iCs/>
                <w:color w:val="0070C0"/>
                <w:sz w:val="20"/>
                <w:szCs w:val="20"/>
                <w:u w:val="single"/>
              </w:rPr>
              <w:t>nimo de lucro del Régimen Tributario Especial, los bancos de alimentos que bajo la misma personer</w:t>
            </w:r>
            <w:r>
              <w:rPr>
                <w:i/>
                <w:iCs/>
                <w:color w:val="0070C0"/>
                <w:sz w:val="20"/>
                <w:szCs w:val="20"/>
                <w:u w:val="single"/>
              </w:rPr>
              <w:t>ía</w:t>
            </w:r>
            <w:r w:rsidRPr="00E5128B">
              <w:rPr>
                <w:i/>
                <w:iCs/>
                <w:color w:val="0070C0"/>
                <w:sz w:val="20"/>
                <w:szCs w:val="20"/>
                <w:u w:val="single"/>
              </w:rPr>
              <w:t xml:space="preserve"> jur</w:t>
            </w:r>
            <w:r>
              <w:rPr>
                <w:i/>
                <w:iCs/>
                <w:color w:val="0070C0"/>
                <w:sz w:val="20"/>
                <w:szCs w:val="20"/>
                <w:u w:val="single"/>
              </w:rPr>
              <w:t>í</w:t>
            </w:r>
            <w:r w:rsidRPr="00E5128B">
              <w:rPr>
                <w:i/>
                <w:iCs/>
                <w:color w:val="0070C0"/>
                <w:sz w:val="20"/>
                <w:szCs w:val="20"/>
                <w:u w:val="single"/>
              </w:rPr>
              <w:t xml:space="preserve">dica posea lo iglesia </w:t>
            </w:r>
            <w:r>
              <w:rPr>
                <w:i/>
                <w:iCs/>
                <w:color w:val="0070C0"/>
                <w:sz w:val="20"/>
                <w:szCs w:val="20"/>
                <w:u w:val="single"/>
              </w:rPr>
              <w:t>o</w:t>
            </w:r>
            <w:r w:rsidRPr="00E5128B">
              <w:rPr>
                <w:i/>
                <w:iCs/>
                <w:color w:val="0070C0"/>
                <w:sz w:val="20"/>
                <w:szCs w:val="20"/>
                <w:u w:val="single"/>
              </w:rPr>
              <w:t xml:space="preserve"> confesión religiosa reconocida por el </w:t>
            </w:r>
            <w:r>
              <w:rPr>
                <w:i/>
                <w:iCs/>
                <w:color w:val="0070C0"/>
                <w:sz w:val="20"/>
                <w:szCs w:val="20"/>
                <w:u w:val="single"/>
              </w:rPr>
              <w:t>Mini</w:t>
            </w:r>
            <w:r w:rsidRPr="00E5128B">
              <w:rPr>
                <w:i/>
                <w:iCs/>
                <w:color w:val="0070C0"/>
                <w:sz w:val="20"/>
                <w:szCs w:val="20"/>
                <w:u w:val="single"/>
              </w:rPr>
              <w:t>s</w:t>
            </w:r>
            <w:r>
              <w:rPr>
                <w:i/>
                <w:iCs/>
                <w:color w:val="0070C0"/>
                <w:sz w:val="20"/>
                <w:szCs w:val="20"/>
                <w:u w:val="single"/>
              </w:rPr>
              <w:t>t</w:t>
            </w:r>
            <w:r w:rsidRPr="00E5128B">
              <w:rPr>
                <w:i/>
                <w:iCs/>
                <w:color w:val="0070C0"/>
                <w:sz w:val="20"/>
                <w:szCs w:val="20"/>
                <w:u w:val="single"/>
              </w:rPr>
              <w:t>erio del In</w:t>
            </w:r>
            <w:r>
              <w:rPr>
                <w:i/>
                <w:iCs/>
                <w:color w:val="0070C0"/>
                <w:sz w:val="20"/>
                <w:szCs w:val="20"/>
                <w:u w:val="single"/>
              </w:rPr>
              <w:t>t</w:t>
            </w:r>
            <w:r w:rsidRPr="00E5128B">
              <w:rPr>
                <w:i/>
                <w:iCs/>
                <w:color w:val="0070C0"/>
                <w:sz w:val="20"/>
                <w:szCs w:val="20"/>
                <w:u w:val="single"/>
              </w:rPr>
              <w:t xml:space="preserve">erior o por la ley y las asociaciones de bancos de </w:t>
            </w:r>
            <w:r>
              <w:rPr>
                <w:i/>
                <w:iCs/>
                <w:color w:val="0070C0"/>
                <w:sz w:val="20"/>
                <w:szCs w:val="20"/>
                <w:u w:val="single"/>
              </w:rPr>
              <w:t>a</w:t>
            </w:r>
            <w:r w:rsidRPr="00E5128B">
              <w:rPr>
                <w:i/>
                <w:iCs/>
                <w:color w:val="0070C0"/>
                <w:sz w:val="20"/>
                <w:szCs w:val="20"/>
                <w:u w:val="single"/>
              </w:rPr>
              <w:t>limentos podrán aplicar un descuento de máximo un 3</w:t>
            </w:r>
            <w:r>
              <w:rPr>
                <w:i/>
                <w:iCs/>
                <w:color w:val="0070C0"/>
                <w:sz w:val="20"/>
                <w:szCs w:val="20"/>
                <w:u w:val="single"/>
              </w:rPr>
              <w:t xml:space="preserve">7% </w:t>
            </w:r>
            <w:r w:rsidRPr="00E5128B">
              <w:rPr>
                <w:i/>
                <w:iCs/>
                <w:color w:val="0070C0"/>
                <w:sz w:val="20"/>
                <w:szCs w:val="20"/>
                <w:u w:val="single"/>
              </w:rPr>
              <w:t>del va</w:t>
            </w:r>
            <w:r>
              <w:rPr>
                <w:i/>
                <w:iCs/>
                <w:color w:val="0070C0"/>
                <w:sz w:val="20"/>
                <w:szCs w:val="20"/>
                <w:u w:val="single"/>
              </w:rPr>
              <w:t>l</w:t>
            </w:r>
            <w:r w:rsidRPr="00E5128B">
              <w:rPr>
                <w:i/>
                <w:iCs/>
                <w:color w:val="0070C0"/>
                <w:sz w:val="20"/>
                <w:szCs w:val="20"/>
                <w:u w:val="single"/>
              </w:rPr>
              <w:t xml:space="preserve">or donado en el año o período gravable. El valor del descuento incluye </w:t>
            </w:r>
            <w:r>
              <w:rPr>
                <w:i/>
                <w:iCs/>
                <w:color w:val="0070C0"/>
                <w:sz w:val="20"/>
                <w:szCs w:val="20"/>
                <w:u w:val="single"/>
              </w:rPr>
              <w:t>l</w:t>
            </w:r>
            <w:r w:rsidRPr="00E5128B">
              <w:rPr>
                <w:i/>
                <w:iCs/>
                <w:color w:val="0070C0"/>
                <w:sz w:val="20"/>
                <w:szCs w:val="20"/>
                <w:u w:val="single"/>
              </w:rPr>
              <w:t>os cost</w:t>
            </w:r>
            <w:r>
              <w:rPr>
                <w:i/>
                <w:iCs/>
                <w:color w:val="0070C0"/>
                <w:sz w:val="20"/>
                <w:szCs w:val="20"/>
                <w:u w:val="single"/>
              </w:rPr>
              <w:t>o</w:t>
            </w:r>
            <w:r w:rsidRPr="00E5128B">
              <w:rPr>
                <w:i/>
                <w:iCs/>
                <w:color w:val="0070C0"/>
                <w:sz w:val="20"/>
                <w:szCs w:val="20"/>
                <w:u w:val="single"/>
              </w:rPr>
              <w:t>s y gastos de transporte incurridos para poner los alimentos en di</w:t>
            </w:r>
            <w:r>
              <w:rPr>
                <w:i/>
                <w:iCs/>
                <w:color w:val="0070C0"/>
                <w:sz w:val="20"/>
                <w:szCs w:val="20"/>
                <w:u w:val="single"/>
              </w:rPr>
              <w:t>s</w:t>
            </w:r>
            <w:r w:rsidRPr="00E5128B">
              <w:rPr>
                <w:i/>
                <w:iCs/>
                <w:color w:val="0070C0"/>
                <w:sz w:val="20"/>
                <w:szCs w:val="20"/>
                <w:u w:val="single"/>
              </w:rPr>
              <w:t>posici</w:t>
            </w:r>
            <w:r>
              <w:rPr>
                <w:i/>
                <w:iCs/>
                <w:color w:val="0070C0"/>
                <w:sz w:val="20"/>
                <w:szCs w:val="20"/>
                <w:u w:val="single"/>
              </w:rPr>
              <w:t>ón</w:t>
            </w:r>
            <w:r w:rsidRPr="00E5128B">
              <w:rPr>
                <w:i/>
                <w:iCs/>
                <w:color w:val="0070C0"/>
                <w:sz w:val="20"/>
                <w:szCs w:val="20"/>
                <w:u w:val="single"/>
              </w:rPr>
              <w:t xml:space="preserve"> de</w:t>
            </w:r>
            <w:r>
              <w:rPr>
                <w:i/>
                <w:iCs/>
                <w:color w:val="0070C0"/>
                <w:sz w:val="20"/>
                <w:szCs w:val="20"/>
                <w:u w:val="single"/>
              </w:rPr>
              <w:t xml:space="preserve">l </w:t>
            </w:r>
            <w:r w:rsidRPr="00E5128B">
              <w:rPr>
                <w:i/>
                <w:iCs/>
                <w:color w:val="0070C0"/>
                <w:sz w:val="20"/>
                <w:szCs w:val="20"/>
                <w:u w:val="single"/>
              </w:rPr>
              <w:t>donatario, los cuales serón incluidos y desagregados por el donat</w:t>
            </w:r>
            <w:r>
              <w:rPr>
                <w:i/>
                <w:iCs/>
                <w:color w:val="0070C0"/>
                <w:sz w:val="20"/>
                <w:szCs w:val="20"/>
                <w:u w:val="single"/>
              </w:rPr>
              <w:t>a</w:t>
            </w:r>
            <w:r w:rsidRPr="00E5128B">
              <w:rPr>
                <w:i/>
                <w:iCs/>
                <w:color w:val="0070C0"/>
                <w:sz w:val="20"/>
                <w:szCs w:val="20"/>
                <w:u w:val="single"/>
              </w:rPr>
              <w:t>rio en el certif</w:t>
            </w:r>
            <w:r>
              <w:rPr>
                <w:i/>
                <w:iCs/>
                <w:color w:val="0070C0"/>
                <w:sz w:val="20"/>
                <w:szCs w:val="20"/>
                <w:u w:val="single"/>
              </w:rPr>
              <w:t>i</w:t>
            </w:r>
            <w:r w:rsidRPr="00E5128B">
              <w:rPr>
                <w:i/>
                <w:iCs/>
                <w:color w:val="0070C0"/>
                <w:sz w:val="20"/>
                <w:szCs w:val="20"/>
                <w:u w:val="single"/>
              </w:rPr>
              <w:t>c</w:t>
            </w:r>
            <w:r>
              <w:rPr>
                <w:i/>
                <w:iCs/>
                <w:color w:val="0070C0"/>
                <w:sz w:val="20"/>
                <w:szCs w:val="20"/>
                <w:u w:val="single"/>
              </w:rPr>
              <w:t>a</w:t>
            </w:r>
            <w:r w:rsidRPr="00E5128B">
              <w:rPr>
                <w:i/>
                <w:iCs/>
                <w:color w:val="0070C0"/>
                <w:sz w:val="20"/>
                <w:szCs w:val="20"/>
                <w:u w:val="single"/>
              </w:rPr>
              <w:t>do de donación</w:t>
            </w:r>
            <w:r>
              <w:rPr>
                <w:i/>
                <w:iCs/>
                <w:color w:val="0070C0"/>
                <w:sz w:val="20"/>
                <w:szCs w:val="20"/>
                <w:u w:val="single"/>
              </w:rPr>
              <w:t>.</w:t>
            </w:r>
          </w:p>
          <w:p w:rsidR="00E5128B" w:rsidRDefault="00E5128B" w:rsidP="00B011B5">
            <w:pPr>
              <w:jc w:val="both"/>
              <w:rPr>
                <w:i/>
                <w:iCs/>
                <w:color w:val="0070C0"/>
                <w:sz w:val="20"/>
                <w:szCs w:val="20"/>
                <w:u w:val="single"/>
              </w:rPr>
            </w:pPr>
          </w:p>
          <w:p w:rsidR="00E5128B" w:rsidRPr="00E5128B" w:rsidRDefault="00E5128B" w:rsidP="00B011B5">
            <w:pPr>
              <w:jc w:val="both"/>
              <w:rPr>
                <w:i/>
                <w:iCs/>
                <w:color w:val="0070C0"/>
                <w:sz w:val="20"/>
                <w:szCs w:val="20"/>
              </w:rPr>
            </w:pPr>
            <w:r w:rsidRPr="00E5128B">
              <w:rPr>
                <w:i/>
                <w:iCs/>
                <w:color w:val="0070C0"/>
                <w:sz w:val="20"/>
                <w:szCs w:val="20"/>
                <w:u w:val="single"/>
              </w:rPr>
              <w:t>Si el beneficio no</w:t>
            </w:r>
            <w:r>
              <w:rPr>
                <w:i/>
                <w:iCs/>
                <w:color w:val="0070C0"/>
                <w:sz w:val="20"/>
                <w:szCs w:val="20"/>
                <w:u w:val="single"/>
              </w:rPr>
              <w:t xml:space="preserve"> se</w:t>
            </w:r>
            <w:r w:rsidRPr="00E5128B">
              <w:rPr>
                <w:i/>
                <w:iCs/>
                <w:color w:val="0070C0"/>
                <w:sz w:val="20"/>
                <w:szCs w:val="20"/>
                <w:u w:val="single"/>
              </w:rPr>
              <w:t xml:space="preserve"> </w:t>
            </w:r>
            <w:r>
              <w:rPr>
                <w:i/>
                <w:iCs/>
                <w:color w:val="0070C0"/>
                <w:sz w:val="20"/>
                <w:szCs w:val="20"/>
                <w:u w:val="single"/>
              </w:rPr>
              <w:t>aplica</w:t>
            </w:r>
            <w:r w:rsidRPr="00E5128B">
              <w:rPr>
                <w:i/>
                <w:iCs/>
                <w:color w:val="0070C0"/>
                <w:sz w:val="20"/>
                <w:szCs w:val="20"/>
                <w:u w:val="single"/>
              </w:rPr>
              <w:t xml:space="preserve"> durante el año o período gravable en el que se generó, el contribuyente podrá imputarlo dentro de su liquidación privada de! mismo impuesto </w:t>
            </w:r>
            <w:r>
              <w:rPr>
                <w:i/>
                <w:iCs/>
                <w:color w:val="0070C0"/>
                <w:sz w:val="20"/>
                <w:szCs w:val="20"/>
                <w:u w:val="single"/>
              </w:rPr>
              <w:t>en</w:t>
            </w:r>
            <w:r w:rsidRPr="00E5128B">
              <w:rPr>
                <w:i/>
                <w:iCs/>
                <w:color w:val="0070C0"/>
                <w:sz w:val="20"/>
                <w:szCs w:val="20"/>
                <w:u w:val="single"/>
              </w:rPr>
              <w:t xml:space="preserve"> per</w:t>
            </w:r>
            <w:r>
              <w:rPr>
                <w:i/>
                <w:iCs/>
                <w:color w:val="0070C0"/>
                <w:sz w:val="20"/>
                <w:szCs w:val="20"/>
                <w:u w:val="single"/>
              </w:rPr>
              <w:t>ío</w:t>
            </w:r>
            <w:r w:rsidRPr="00E5128B">
              <w:rPr>
                <w:i/>
                <w:iCs/>
                <w:color w:val="0070C0"/>
                <w:sz w:val="20"/>
                <w:szCs w:val="20"/>
                <w:u w:val="single"/>
              </w:rPr>
              <w:t xml:space="preserve">dos gravables siguientes, hasta un máximo </w:t>
            </w:r>
            <w:r>
              <w:rPr>
                <w:i/>
                <w:iCs/>
                <w:color w:val="0070C0"/>
                <w:sz w:val="20"/>
                <w:szCs w:val="20"/>
                <w:u w:val="single"/>
              </w:rPr>
              <w:t>de cuatro</w:t>
            </w:r>
            <w:r w:rsidRPr="00E5128B">
              <w:rPr>
                <w:i/>
                <w:iCs/>
                <w:color w:val="0070C0"/>
                <w:sz w:val="20"/>
                <w:szCs w:val="20"/>
                <w:u w:val="single"/>
              </w:rPr>
              <w:t xml:space="preserve"> (4) periodos</w:t>
            </w:r>
            <w:r>
              <w:rPr>
                <w:i/>
                <w:iCs/>
                <w:color w:val="0070C0"/>
                <w:sz w:val="20"/>
                <w:szCs w:val="20"/>
                <w:u w:val="single"/>
              </w:rPr>
              <w:t>.</w:t>
            </w:r>
          </w:p>
          <w:p w:rsidR="00B011B5" w:rsidRPr="00E5128B" w:rsidRDefault="00B011B5" w:rsidP="00B011B5">
            <w:pPr>
              <w:jc w:val="both"/>
              <w:rPr>
                <w:i/>
                <w:iCs/>
                <w:color w:val="0070C0"/>
                <w:sz w:val="20"/>
                <w:szCs w:val="20"/>
              </w:rPr>
            </w:pPr>
          </w:p>
          <w:p w:rsidR="00B011B5" w:rsidRPr="00B011B5" w:rsidRDefault="00B011B5" w:rsidP="00B011B5">
            <w:pPr>
              <w:jc w:val="both"/>
              <w:rPr>
                <w:i/>
                <w:iCs/>
                <w:color w:val="0070C0"/>
                <w:sz w:val="20"/>
                <w:szCs w:val="20"/>
              </w:rPr>
            </w:pPr>
          </w:p>
          <w:p w:rsidR="00B011B5" w:rsidRPr="00B011B5" w:rsidRDefault="00B011B5" w:rsidP="00B011B5">
            <w:pPr>
              <w:jc w:val="both"/>
              <w:rPr>
                <w:i/>
                <w:iCs/>
                <w:color w:val="0070C0"/>
                <w:sz w:val="20"/>
                <w:szCs w:val="20"/>
              </w:rPr>
            </w:pPr>
          </w:p>
        </w:tc>
      </w:tr>
    </w:tbl>
    <w:p w:rsidR="00363C7E" w:rsidRDefault="00363C7E">
      <w:pPr>
        <w:rPr>
          <w:lang w:val="es-ES"/>
        </w:rPr>
      </w:pPr>
    </w:p>
    <w:p w:rsidR="00E5128B" w:rsidRDefault="00E5128B">
      <w:pPr>
        <w:rPr>
          <w:lang w:val="es-ES"/>
        </w:rPr>
      </w:pPr>
      <w:r>
        <w:rPr>
          <w:lang w:val="es-ES"/>
        </w:rPr>
        <w:t xml:space="preserve">Por tanto, y tomando en cuenta lo establecido en el </w:t>
      </w:r>
      <w:hyperlink r:id="rId17" w:anchor="363" w:history="1">
        <w:r w:rsidRPr="00177D9D">
          <w:rPr>
            <w:rStyle w:val="Hipervnculo"/>
            <w:lang w:val="es-ES"/>
          </w:rPr>
          <w:t>artículo 363 de la Constitución nacional</w:t>
        </w:r>
      </w:hyperlink>
      <w:r>
        <w:rPr>
          <w:lang w:val="es-ES"/>
        </w:rPr>
        <w:t xml:space="preserve"> (</w:t>
      </w:r>
      <w:r w:rsidR="00177D9D">
        <w:rPr>
          <w:lang w:val="es-ES"/>
        </w:rPr>
        <w:t>el</w:t>
      </w:r>
      <w:r>
        <w:rPr>
          <w:lang w:val="es-ES"/>
        </w:rPr>
        <w:t xml:space="preserve"> cual establece que los nuevos cambios tributarios </w:t>
      </w:r>
      <w:r w:rsidR="00177D9D">
        <w:rPr>
          <w:lang w:val="es-ES"/>
        </w:rPr>
        <w:t xml:space="preserve">que se realicen al impuesto de renta </w:t>
      </w:r>
      <w:r>
        <w:rPr>
          <w:lang w:val="es-ES"/>
        </w:rPr>
        <w:t>solo se pueden aplicar a partir del periodo gravable siguiente</w:t>
      </w:r>
      <w:r w:rsidR="00177D9D">
        <w:rPr>
          <w:lang w:val="es-ES"/>
        </w:rPr>
        <w:t xml:space="preserve"> y no dentro del mismo año gravable en que se expide la nueva Ley</w:t>
      </w:r>
      <w:r>
        <w:rPr>
          <w:lang w:val="es-ES"/>
        </w:rPr>
        <w:t xml:space="preserve">), </w:t>
      </w:r>
      <w:r w:rsidR="007847EB">
        <w:rPr>
          <w:lang w:val="es-ES"/>
        </w:rPr>
        <w:t>es claro</w:t>
      </w:r>
      <w:r>
        <w:rPr>
          <w:lang w:val="es-ES"/>
        </w:rPr>
        <w:t xml:space="preserve"> </w:t>
      </w:r>
      <w:r w:rsidR="007847EB">
        <w:rPr>
          <w:lang w:val="es-ES"/>
        </w:rPr>
        <w:t>que solo</w:t>
      </w:r>
      <w:r>
        <w:rPr>
          <w:lang w:val="es-ES"/>
        </w:rPr>
        <w:t xml:space="preserve"> a partir del año gravable 2025 las personas jurídicas y naturales que declaren renta en el régimen ordinario o especial (es decir, las que no se hayan traslado al régimen simple) y  que deseen hacer las mencionadas donaciones de alimentos a los tipos de bancos de alimentos expresamente mencionados en la norma podrán tomar como un descuento tributario</w:t>
      </w:r>
      <w:r w:rsidR="00177D9D">
        <w:rPr>
          <w:lang w:val="es-ES"/>
        </w:rPr>
        <w:t>, no el 25% que se menciona en el inciso primero del artículo 257 del ET, sino</w:t>
      </w:r>
      <w:r>
        <w:rPr>
          <w:lang w:val="es-ES"/>
        </w:rPr>
        <w:t xml:space="preserve"> hasta el 37% del valor de los alimentos donados (inclu</w:t>
      </w:r>
      <w:r w:rsidR="007847EB">
        <w:rPr>
          <w:lang w:val="es-ES"/>
        </w:rPr>
        <w:t>yendo</w:t>
      </w:r>
      <w:r>
        <w:rPr>
          <w:lang w:val="es-ES"/>
        </w:rPr>
        <w:t xml:space="preserve"> dentro de la base del cálculo hasta los gastos para trasportarlos, los cual implicaría entonces que dichos gastos de transporte no se podrán tomar al mismo tiempo como un gasto deducible)</w:t>
      </w:r>
    </w:p>
    <w:p w:rsidR="00E5128B" w:rsidRDefault="00E5128B">
      <w:pPr>
        <w:rPr>
          <w:lang w:val="es-ES"/>
        </w:rPr>
      </w:pPr>
    </w:p>
    <w:p w:rsidR="007847EB" w:rsidRDefault="00E5128B">
      <w:pPr>
        <w:rPr>
          <w:lang w:val="es-ES"/>
        </w:rPr>
      </w:pPr>
      <w:r>
        <w:rPr>
          <w:lang w:val="es-ES"/>
        </w:rPr>
        <w:lastRenderedPageBreak/>
        <w:t xml:space="preserve">Al respecto, es necesario recordar que si dicho beneficio tributario lo llegan a utilizar las personas jurídicas del régimen ordinario que sí estén sometidas al cálculo de la </w:t>
      </w:r>
      <w:hyperlink r:id="rId18" w:history="1">
        <w:r w:rsidRPr="003F7D27">
          <w:rPr>
            <w:rStyle w:val="Hipervnculo"/>
            <w:lang w:val="es-ES"/>
          </w:rPr>
          <w:t>“tasa mínima de tributación” (ver parágrafo 6 del artículo 240 del ET)</w:t>
        </w:r>
      </w:hyperlink>
      <w:r>
        <w:rPr>
          <w:lang w:val="es-ES"/>
        </w:rPr>
        <w:t xml:space="preserve">, </w:t>
      </w:r>
      <w:r w:rsidR="00177D9D">
        <w:rPr>
          <w:lang w:val="es-ES"/>
        </w:rPr>
        <w:t xml:space="preserve">en tal caso se debe recordar que </w:t>
      </w:r>
      <w:r w:rsidR="007847EB">
        <w:rPr>
          <w:lang w:val="es-ES"/>
        </w:rPr>
        <w:t>los</w:t>
      </w:r>
      <w:r w:rsidR="00177D9D">
        <w:rPr>
          <w:lang w:val="es-ES"/>
        </w:rPr>
        <w:t xml:space="preserve"> descuentos tributarios del artículo 257 del ET no se dejan sumar en el cálculo del “impuesto depurado” (el cual luego se debe dividir entre la “utilidad depurada”), razón por la cual dichos descuentos tributarios al final no se podrán utilizar de forma plena (se hará necesario limitarlos hasta alcanzar la denominada “tasa mínima de tributación”)</w:t>
      </w:r>
      <w:r w:rsidR="00677C8D">
        <w:rPr>
          <w:lang w:val="es-ES"/>
        </w:rPr>
        <w:t xml:space="preserve">. </w:t>
      </w:r>
    </w:p>
    <w:p w:rsidR="003F7D27" w:rsidRDefault="003F7D27">
      <w:pPr>
        <w:rPr>
          <w:lang w:val="es-ES"/>
        </w:rPr>
      </w:pPr>
    </w:p>
    <w:p w:rsidR="007847EB" w:rsidRDefault="007847EB">
      <w:pPr>
        <w:rPr>
          <w:lang w:val="es-ES"/>
        </w:rPr>
      </w:pPr>
      <w:r>
        <w:rPr>
          <w:lang w:val="es-ES"/>
        </w:rPr>
        <w:t xml:space="preserve">Por último, es importante destacar que el artículo 3 de la misma Ley 2380 de julio de 2024 </w:t>
      </w:r>
      <w:proofErr w:type="spellStart"/>
      <w:r>
        <w:rPr>
          <w:lang w:val="es-ES"/>
        </w:rPr>
        <w:t>t</w:t>
      </w:r>
      <w:r>
        <w:rPr>
          <w:lang w:val="es-ES"/>
        </w:rPr>
        <w:t xml:space="preserve">ambién </w:t>
      </w:r>
      <w:proofErr w:type="spellEnd"/>
      <w:r>
        <w:rPr>
          <w:lang w:val="es-ES"/>
        </w:rPr>
        <w:t>modificó el artículo 424 del ET para establecer que la donación de elementos de higiene y aseo se toma</w:t>
      </w:r>
      <w:r w:rsidR="00677C8D">
        <w:rPr>
          <w:lang w:val="es-ES"/>
        </w:rPr>
        <w:t>r</w:t>
      </w:r>
      <w:r>
        <w:rPr>
          <w:lang w:val="es-ES"/>
        </w:rPr>
        <w:t>ían</w:t>
      </w:r>
      <w:r>
        <w:rPr>
          <w:lang w:val="es-ES"/>
        </w:rPr>
        <w:t xml:space="preserve"> también como operaciones excluidas del IVA</w:t>
      </w:r>
      <w:r w:rsidR="00677C8D">
        <w:rPr>
          <w:lang w:val="es-ES"/>
        </w:rPr>
        <w:t>, lo cual implica que no se tendría que generar el IVA en dicha operación (ver artículo 420 del ET) a pesar de que el IVA de la producción o compra de los mismos sí se pudo haber tomado como IVA descontable. La modificación efectuada a dicho artículo fue la siguiente (el subrayado es nuestro)</w:t>
      </w:r>
    </w:p>
    <w:p w:rsidR="007847EB" w:rsidRDefault="007847EB">
      <w:pPr>
        <w:rPr>
          <w:lang w:val="es-ES"/>
        </w:rPr>
      </w:pPr>
    </w:p>
    <w:p w:rsidR="007847EB" w:rsidRDefault="007847EB" w:rsidP="007847EB">
      <w:pPr>
        <w:rPr>
          <w:lang w:val="es-ES"/>
        </w:rPr>
      </w:pPr>
    </w:p>
    <w:tbl>
      <w:tblPr>
        <w:tblStyle w:val="Tablaconcuadrcula"/>
        <w:tblW w:w="0" w:type="auto"/>
        <w:tblLook w:val="04A0" w:firstRow="1" w:lastRow="0" w:firstColumn="1" w:lastColumn="0" w:noHBand="0" w:noVBand="1"/>
      </w:tblPr>
      <w:tblGrid>
        <w:gridCol w:w="4414"/>
        <w:gridCol w:w="4414"/>
      </w:tblGrid>
      <w:tr w:rsidR="007847EB" w:rsidTr="007B6141">
        <w:tc>
          <w:tcPr>
            <w:tcW w:w="4414" w:type="dxa"/>
          </w:tcPr>
          <w:p w:rsidR="007847EB" w:rsidRDefault="007847EB" w:rsidP="007B6141">
            <w:pPr>
              <w:jc w:val="center"/>
              <w:rPr>
                <w:lang w:val="es-ES"/>
              </w:rPr>
            </w:pPr>
            <w:r>
              <w:rPr>
                <w:lang w:val="es-ES"/>
              </w:rPr>
              <w:t>Versión anterior de la norma</w:t>
            </w:r>
          </w:p>
        </w:tc>
        <w:tc>
          <w:tcPr>
            <w:tcW w:w="4414" w:type="dxa"/>
          </w:tcPr>
          <w:p w:rsidR="007847EB" w:rsidRDefault="007847EB" w:rsidP="007B6141">
            <w:pPr>
              <w:jc w:val="center"/>
              <w:rPr>
                <w:lang w:val="es-ES"/>
              </w:rPr>
            </w:pPr>
            <w:r>
              <w:rPr>
                <w:lang w:val="es-ES"/>
              </w:rPr>
              <w:t>Nueva versión de la norma</w:t>
            </w:r>
          </w:p>
        </w:tc>
      </w:tr>
      <w:tr w:rsidR="007847EB" w:rsidTr="007B6141">
        <w:tc>
          <w:tcPr>
            <w:tcW w:w="4414" w:type="dxa"/>
          </w:tcPr>
          <w:p w:rsidR="007847EB" w:rsidRDefault="007847EB" w:rsidP="007B6141">
            <w:pPr>
              <w:jc w:val="both"/>
              <w:rPr>
                <w:lang w:val="es-ES"/>
              </w:rPr>
            </w:pPr>
            <w:bookmarkStart w:id="1" w:name="424"/>
            <w:r w:rsidRPr="003F7D27">
              <w:rPr>
                <w:lang w:val="es-ES"/>
              </w:rPr>
              <w:t>ARTICULO 424. BIENES QUE NO CAUSAN EL IMPUESTO.</w:t>
            </w:r>
            <w:bookmarkEnd w:id="1"/>
            <w:r w:rsidRPr="003F7D27">
              <w:rPr>
                <w:lang w:val="es-ES"/>
              </w:rPr>
              <w:t>  Los siguientes bienes se hallan excluidos del impuesto y por consiguiente su venta o importación no causa el impuesto sobre las ventas</w:t>
            </w:r>
            <w:r>
              <w:rPr>
                <w:lang w:val="es-ES"/>
              </w:rPr>
              <w:t>….</w:t>
            </w:r>
          </w:p>
          <w:p w:rsidR="007847EB" w:rsidRDefault="007847EB" w:rsidP="007B6141">
            <w:pPr>
              <w:jc w:val="both"/>
              <w:rPr>
                <w:lang w:val="es-ES"/>
              </w:rPr>
            </w:pPr>
            <w:r>
              <w:rPr>
                <w:lang w:val="es-ES"/>
              </w:rPr>
              <w:t>1..</w:t>
            </w:r>
          </w:p>
          <w:p w:rsidR="007847EB" w:rsidRDefault="007847EB" w:rsidP="007B6141">
            <w:pPr>
              <w:jc w:val="both"/>
              <w:rPr>
                <w:lang w:val="es-ES"/>
              </w:rPr>
            </w:pPr>
            <w:r>
              <w:rPr>
                <w:lang w:val="es-ES"/>
              </w:rPr>
              <w:t>2..</w:t>
            </w:r>
          </w:p>
          <w:p w:rsidR="007847EB" w:rsidRDefault="007847EB" w:rsidP="007B6141">
            <w:pPr>
              <w:jc w:val="both"/>
              <w:rPr>
                <w:lang w:val="es-ES"/>
              </w:rPr>
            </w:pPr>
            <w:r>
              <w:rPr>
                <w:lang w:val="es-ES"/>
              </w:rPr>
              <w:t>3..</w:t>
            </w:r>
          </w:p>
          <w:p w:rsidR="007847EB" w:rsidRDefault="007847EB" w:rsidP="007B6141">
            <w:pPr>
              <w:jc w:val="both"/>
              <w:rPr>
                <w:lang w:val="es-ES"/>
              </w:rPr>
            </w:pPr>
            <w:r>
              <w:rPr>
                <w:lang w:val="es-ES"/>
              </w:rPr>
              <w:t>4..</w:t>
            </w:r>
          </w:p>
          <w:p w:rsidR="007847EB" w:rsidRDefault="007847EB" w:rsidP="007B6141">
            <w:pPr>
              <w:jc w:val="both"/>
              <w:rPr>
                <w:lang w:val="es-ES"/>
              </w:rPr>
            </w:pPr>
            <w:r>
              <w:rPr>
                <w:lang w:val="es-ES"/>
              </w:rPr>
              <w:t>5..</w:t>
            </w:r>
          </w:p>
          <w:p w:rsidR="007847EB" w:rsidRDefault="007847EB" w:rsidP="007B6141">
            <w:pPr>
              <w:jc w:val="both"/>
              <w:rPr>
                <w:lang w:val="es-ES"/>
              </w:rPr>
            </w:pPr>
            <w:r>
              <w:rPr>
                <w:lang w:val="es-ES"/>
              </w:rPr>
              <w:t>6..</w:t>
            </w:r>
          </w:p>
          <w:p w:rsidR="007847EB" w:rsidRDefault="007847EB" w:rsidP="007B6141">
            <w:pPr>
              <w:jc w:val="both"/>
              <w:rPr>
                <w:lang w:val="es-ES"/>
              </w:rPr>
            </w:pPr>
            <w:r>
              <w:rPr>
                <w:lang w:val="es-ES"/>
              </w:rPr>
              <w:t>7..</w:t>
            </w:r>
          </w:p>
          <w:p w:rsidR="007847EB" w:rsidRDefault="007847EB" w:rsidP="007B6141">
            <w:pPr>
              <w:jc w:val="both"/>
              <w:rPr>
                <w:lang w:val="es-ES"/>
              </w:rPr>
            </w:pPr>
            <w:r>
              <w:rPr>
                <w:lang w:val="es-ES"/>
              </w:rPr>
              <w:t>8..</w:t>
            </w:r>
          </w:p>
          <w:p w:rsidR="007847EB" w:rsidRDefault="007847EB" w:rsidP="007B6141">
            <w:pPr>
              <w:jc w:val="both"/>
              <w:rPr>
                <w:lang w:val="es-ES"/>
              </w:rPr>
            </w:pPr>
            <w:r>
              <w:rPr>
                <w:rFonts w:ascii="Roboto Condensed" w:hAnsi="Roboto Condensed"/>
                <w:color w:val="343536"/>
                <w:spacing w:val="2"/>
                <w:shd w:val="clear" w:color="auto" w:fill="FFFFFF"/>
              </w:rPr>
              <w:t>9</w:t>
            </w:r>
            <w:r w:rsidRPr="003F7D27">
              <w:rPr>
                <w:lang w:val="es-ES"/>
              </w:rPr>
              <w:t xml:space="preserve">. Los alimentos </w:t>
            </w:r>
            <w:r w:rsidRPr="000953DC">
              <w:rPr>
                <w:b/>
                <w:bCs/>
                <w:u w:val="single"/>
                <w:lang w:val="es-ES"/>
              </w:rPr>
              <w:t>de</w:t>
            </w:r>
            <w:r w:rsidRPr="003F7D27">
              <w:rPr>
                <w:lang w:val="es-ES"/>
              </w:rPr>
              <w:t xml:space="preserve"> consumo humano donados a favor de los bancos de alimentos </w:t>
            </w:r>
            <w:r w:rsidRPr="000953DC">
              <w:rPr>
                <w:b/>
                <w:bCs/>
                <w:u w:val="single"/>
                <w:lang w:val="es-ES"/>
              </w:rPr>
              <w:t>legalmente constituidos</w:t>
            </w:r>
            <w:r w:rsidRPr="003F7D27">
              <w:rPr>
                <w:lang w:val="es-ES"/>
              </w:rPr>
              <w:t xml:space="preserve">, </w:t>
            </w:r>
            <w:r w:rsidRPr="000953DC">
              <w:rPr>
                <w:b/>
                <w:bCs/>
                <w:u w:val="single"/>
                <w:lang w:val="es-ES"/>
              </w:rPr>
              <w:t>de acuerdo con la reglamentación que expida el Gobierno nacional.</w:t>
            </w:r>
          </w:p>
          <w:p w:rsidR="007847EB" w:rsidRDefault="007847EB" w:rsidP="007B6141">
            <w:pPr>
              <w:jc w:val="both"/>
              <w:rPr>
                <w:lang w:val="es-ES"/>
              </w:rPr>
            </w:pPr>
          </w:p>
        </w:tc>
        <w:tc>
          <w:tcPr>
            <w:tcW w:w="4414" w:type="dxa"/>
          </w:tcPr>
          <w:p w:rsidR="007847EB" w:rsidRDefault="007847EB" w:rsidP="007B6141">
            <w:pPr>
              <w:jc w:val="both"/>
              <w:rPr>
                <w:lang w:val="es-ES"/>
              </w:rPr>
            </w:pPr>
            <w:r w:rsidRPr="003F7D27">
              <w:rPr>
                <w:lang w:val="es-ES"/>
              </w:rPr>
              <w:t>ARTICULO 424. BIENES QUE NO CAUSAN EL IMPUESTO.  Los siguientes bienes se hallan excluidos del impuesto y por consiguiente su venta o importación no causa el impuesto sobre las ventas</w:t>
            </w:r>
            <w:r>
              <w:rPr>
                <w:lang w:val="es-ES"/>
              </w:rPr>
              <w:t>..</w:t>
            </w:r>
          </w:p>
          <w:p w:rsidR="007847EB" w:rsidRDefault="007847EB" w:rsidP="007B6141">
            <w:pPr>
              <w:jc w:val="both"/>
              <w:rPr>
                <w:lang w:val="es-ES"/>
              </w:rPr>
            </w:pPr>
            <w:r>
              <w:rPr>
                <w:lang w:val="es-ES"/>
              </w:rPr>
              <w:t>1..</w:t>
            </w:r>
          </w:p>
          <w:p w:rsidR="007847EB" w:rsidRDefault="007847EB" w:rsidP="007B6141">
            <w:pPr>
              <w:jc w:val="both"/>
              <w:rPr>
                <w:lang w:val="es-ES"/>
              </w:rPr>
            </w:pPr>
            <w:r>
              <w:rPr>
                <w:lang w:val="es-ES"/>
              </w:rPr>
              <w:t>2..</w:t>
            </w:r>
          </w:p>
          <w:p w:rsidR="007847EB" w:rsidRDefault="007847EB" w:rsidP="007B6141">
            <w:pPr>
              <w:jc w:val="both"/>
              <w:rPr>
                <w:lang w:val="es-ES"/>
              </w:rPr>
            </w:pPr>
            <w:r>
              <w:rPr>
                <w:lang w:val="es-ES"/>
              </w:rPr>
              <w:t>3..</w:t>
            </w:r>
          </w:p>
          <w:p w:rsidR="007847EB" w:rsidRDefault="007847EB" w:rsidP="007B6141">
            <w:pPr>
              <w:jc w:val="both"/>
              <w:rPr>
                <w:lang w:val="es-ES"/>
              </w:rPr>
            </w:pPr>
            <w:r>
              <w:rPr>
                <w:lang w:val="es-ES"/>
              </w:rPr>
              <w:t>4..</w:t>
            </w:r>
          </w:p>
          <w:p w:rsidR="007847EB" w:rsidRDefault="007847EB" w:rsidP="007B6141">
            <w:pPr>
              <w:jc w:val="both"/>
              <w:rPr>
                <w:lang w:val="es-ES"/>
              </w:rPr>
            </w:pPr>
            <w:r>
              <w:rPr>
                <w:lang w:val="es-ES"/>
              </w:rPr>
              <w:t>5..</w:t>
            </w:r>
          </w:p>
          <w:p w:rsidR="007847EB" w:rsidRDefault="007847EB" w:rsidP="007B6141">
            <w:pPr>
              <w:jc w:val="both"/>
              <w:rPr>
                <w:lang w:val="es-ES"/>
              </w:rPr>
            </w:pPr>
            <w:r>
              <w:rPr>
                <w:lang w:val="es-ES"/>
              </w:rPr>
              <w:t>6..</w:t>
            </w:r>
          </w:p>
          <w:p w:rsidR="007847EB" w:rsidRDefault="007847EB" w:rsidP="007B6141">
            <w:pPr>
              <w:jc w:val="both"/>
              <w:rPr>
                <w:lang w:val="es-ES"/>
              </w:rPr>
            </w:pPr>
            <w:r>
              <w:rPr>
                <w:lang w:val="es-ES"/>
              </w:rPr>
              <w:t>7..</w:t>
            </w:r>
          </w:p>
          <w:p w:rsidR="007847EB" w:rsidRDefault="007847EB" w:rsidP="007B6141">
            <w:pPr>
              <w:jc w:val="both"/>
              <w:rPr>
                <w:lang w:val="es-ES"/>
              </w:rPr>
            </w:pPr>
            <w:r>
              <w:rPr>
                <w:lang w:val="es-ES"/>
              </w:rPr>
              <w:t>8..</w:t>
            </w:r>
          </w:p>
          <w:p w:rsidR="007847EB" w:rsidRDefault="007847EB" w:rsidP="007B6141">
            <w:pPr>
              <w:jc w:val="both"/>
              <w:rPr>
                <w:lang w:val="es-ES"/>
              </w:rPr>
            </w:pPr>
            <w:r>
              <w:t xml:space="preserve">9.Los alimentos </w:t>
            </w:r>
            <w:r w:rsidRPr="000953DC">
              <w:rPr>
                <w:u w:val="single"/>
              </w:rPr>
              <w:t>aptos</w:t>
            </w:r>
            <w:r>
              <w:t xml:space="preserve"> para el consumo humano </w:t>
            </w:r>
            <w:r w:rsidRPr="000953DC">
              <w:rPr>
                <w:b/>
                <w:bCs/>
                <w:u w:val="single"/>
              </w:rPr>
              <w:t>así como bienes de higiene y aseo</w:t>
            </w:r>
            <w:r>
              <w:t xml:space="preserve">, donados a favor de los bancos de alimentos </w:t>
            </w:r>
            <w:r w:rsidRPr="000953DC">
              <w:rPr>
                <w:b/>
                <w:bCs/>
                <w:u w:val="single"/>
              </w:rPr>
              <w:t>que se encuentren constituidos como entidades sin ánimo de lucro del Régimen Tributario Especial, los bancos de alimentos que bajo la misma personería jurídica posea la iglesia o confesión religioso reconocida por el Ministerio del Interior o por la ley y las asociaciones de bancos de alimentos.</w:t>
            </w:r>
          </w:p>
          <w:p w:rsidR="007847EB" w:rsidRDefault="007847EB" w:rsidP="007B6141">
            <w:pPr>
              <w:jc w:val="both"/>
              <w:rPr>
                <w:lang w:val="es-ES"/>
              </w:rPr>
            </w:pPr>
          </w:p>
        </w:tc>
      </w:tr>
    </w:tbl>
    <w:p w:rsidR="007847EB" w:rsidRPr="007847EB" w:rsidRDefault="007847EB"/>
    <w:p w:rsidR="000953DC" w:rsidRDefault="000953DC">
      <w:pPr>
        <w:pBdr>
          <w:bottom w:val="single" w:sz="12" w:space="1" w:color="auto"/>
        </w:pBdr>
        <w:rPr>
          <w:lang w:val="es-ES"/>
        </w:rPr>
      </w:pPr>
    </w:p>
    <w:p w:rsidR="00106EF1" w:rsidRDefault="00000000" w:rsidP="00106EF1">
      <w:pPr>
        <w:rPr>
          <w:lang w:eastAsia="es-MX"/>
        </w:rPr>
      </w:pPr>
      <w:hyperlink r:id="rId19" w:history="1">
        <w:r w:rsidR="00106EF1" w:rsidRPr="00106EF1">
          <w:rPr>
            <w:rStyle w:val="Hipervnculo"/>
            <w:lang w:eastAsia="es-MX"/>
          </w:rPr>
          <w:t>Retiro de inventarios para autoconsumo: Dian cambió su postura frente a la expedición de factura de venta</w:t>
        </w:r>
      </w:hyperlink>
    </w:p>
    <w:p w:rsidR="00106EF1" w:rsidRDefault="00106EF1" w:rsidP="00106EF1">
      <w:pPr>
        <w:rPr>
          <w:lang w:eastAsia="es-MX"/>
        </w:rPr>
      </w:pPr>
    </w:p>
    <w:p w:rsidR="00106EF1" w:rsidRPr="00106EF1" w:rsidRDefault="00106EF1" w:rsidP="00106EF1">
      <w:pPr>
        <w:rPr>
          <w:lang w:eastAsia="es-MX"/>
        </w:rPr>
      </w:pPr>
    </w:p>
    <w:p w:rsidR="00106EF1" w:rsidRPr="00106EF1" w:rsidRDefault="00106EF1"/>
    <w:sectPr w:rsidR="00106EF1" w:rsidRPr="00106E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Condensed">
    <w:panose1 w:val="02000000000000000000"/>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BA"/>
    <w:rsid w:val="000007B9"/>
    <w:rsid w:val="000123E8"/>
    <w:rsid w:val="000953DC"/>
    <w:rsid w:val="00106EF1"/>
    <w:rsid w:val="00177D9D"/>
    <w:rsid w:val="00363C7E"/>
    <w:rsid w:val="003F7D27"/>
    <w:rsid w:val="004045DE"/>
    <w:rsid w:val="00677C8D"/>
    <w:rsid w:val="007847EB"/>
    <w:rsid w:val="0080317B"/>
    <w:rsid w:val="008D25BA"/>
    <w:rsid w:val="00A31CE5"/>
    <w:rsid w:val="00B011B5"/>
    <w:rsid w:val="00CD73F0"/>
    <w:rsid w:val="00E5128B"/>
    <w:rsid w:val="00FE6F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9FCEF"/>
  <w15:chartTrackingRefBased/>
  <w15:docId w15:val="{862176E4-2C99-3D46-9F87-B445ACCD5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06EF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3F7D2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007B9"/>
    <w:rPr>
      <w:color w:val="0563C1" w:themeColor="hyperlink"/>
      <w:u w:val="single"/>
    </w:rPr>
  </w:style>
  <w:style w:type="character" w:styleId="Mencinsinresolver">
    <w:name w:val="Unresolved Mention"/>
    <w:basedOn w:val="Fuentedeprrafopredeter"/>
    <w:uiPriority w:val="99"/>
    <w:semiHidden/>
    <w:unhideWhenUsed/>
    <w:rsid w:val="000007B9"/>
    <w:rPr>
      <w:color w:val="605E5C"/>
      <w:shd w:val="clear" w:color="auto" w:fill="E1DFDD"/>
    </w:rPr>
  </w:style>
  <w:style w:type="table" w:styleId="Tablaconcuadrcula">
    <w:name w:val="Table Grid"/>
    <w:basedOn w:val="Tablanormal"/>
    <w:uiPriority w:val="39"/>
    <w:rsid w:val="00363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basedOn w:val="Fuentedeprrafopredeter"/>
    <w:rsid w:val="00363C7E"/>
  </w:style>
  <w:style w:type="paragraph" w:styleId="NormalWeb">
    <w:name w:val="Normal (Web)"/>
    <w:basedOn w:val="Normal"/>
    <w:uiPriority w:val="99"/>
    <w:semiHidden/>
    <w:unhideWhenUsed/>
    <w:rsid w:val="00B011B5"/>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baj">
    <w:name w:val="b_aj"/>
    <w:basedOn w:val="Fuentedeprrafopredeter"/>
    <w:rsid w:val="00B011B5"/>
  </w:style>
  <w:style w:type="character" w:customStyle="1" w:styleId="Ttulo2Car">
    <w:name w:val="Título 2 Car"/>
    <w:basedOn w:val="Fuentedeprrafopredeter"/>
    <w:link w:val="Ttulo2"/>
    <w:uiPriority w:val="9"/>
    <w:rsid w:val="003F7D27"/>
    <w:rPr>
      <w:rFonts w:asciiTheme="majorHAnsi" w:eastAsiaTheme="majorEastAsia" w:hAnsiTheme="majorHAnsi" w:cstheme="majorBidi"/>
      <w:color w:val="2F5496" w:themeColor="accent1" w:themeShade="BF"/>
      <w:sz w:val="26"/>
      <w:szCs w:val="26"/>
    </w:rPr>
  </w:style>
  <w:style w:type="character" w:customStyle="1" w:styleId="Ttulo1Car">
    <w:name w:val="Título 1 Car"/>
    <w:basedOn w:val="Fuentedeprrafopredeter"/>
    <w:link w:val="Ttulo1"/>
    <w:uiPriority w:val="9"/>
    <w:rsid w:val="00106EF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752088">
      <w:bodyDiv w:val="1"/>
      <w:marLeft w:val="0"/>
      <w:marRight w:val="0"/>
      <w:marTop w:val="0"/>
      <w:marBottom w:val="0"/>
      <w:divBdr>
        <w:top w:val="none" w:sz="0" w:space="0" w:color="auto"/>
        <w:left w:val="none" w:sz="0" w:space="0" w:color="auto"/>
        <w:bottom w:val="none" w:sz="0" w:space="0" w:color="auto"/>
        <w:right w:val="none" w:sz="0" w:space="0" w:color="auto"/>
      </w:divBdr>
    </w:div>
    <w:div w:id="1302661128">
      <w:bodyDiv w:val="1"/>
      <w:marLeft w:val="0"/>
      <w:marRight w:val="0"/>
      <w:marTop w:val="0"/>
      <w:marBottom w:val="0"/>
      <w:divBdr>
        <w:top w:val="none" w:sz="0" w:space="0" w:color="auto"/>
        <w:left w:val="none" w:sz="0" w:space="0" w:color="auto"/>
        <w:bottom w:val="none" w:sz="0" w:space="0" w:color="auto"/>
        <w:right w:val="none" w:sz="0" w:space="0" w:color="auto"/>
      </w:divBdr>
    </w:div>
    <w:div w:id="199251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ograma.dian.gov.co/dian/compilacion/docs/estatuto_tributario.htm" TargetMode="External"/><Relationship Id="rId13" Type="http://schemas.openxmlformats.org/officeDocument/2006/relationships/hyperlink" Target="https://normograma.dian.gov.co/dian/compilacion/docs/estatuto_tributario.htm" TargetMode="External"/><Relationship Id="rId18" Type="http://schemas.openxmlformats.org/officeDocument/2006/relationships/hyperlink" Target="https://actualicese.com/liquidador-en-excel-del-formulario-110-y-el-formato-2516-declaracion-de-renta-de-personas-juridicas-ag-2023/"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normograma.dian.gov.co/dian/compilacion/docs/estatuto_tributario.htm" TargetMode="External"/><Relationship Id="rId12" Type="http://schemas.openxmlformats.org/officeDocument/2006/relationships/hyperlink" Target="https://normograma.dian.gov.co/dian/compilacion/docs/estatuto_tributario.htm" TargetMode="External"/><Relationship Id="rId17" Type="http://schemas.openxmlformats.org/officeDocument/2006/relationships/hyperlink" Target="http://www.secretariasenado.gov.co/senado/basedoc/constitucion_politica_1991_pr012.html" TargetMode="External"/><Relationship Id="rId2" Type="http://schemas.openxmlformats.org/officeDocument/2006/relationships/settings" Target="settings.xml"/><Relationship Id="rId16" Type="http://schemas.openxmlformats.org/officeDocument/2006/relationships/hyperlink" Target="https://normograma.dian.gov.co/dian/compilacion/docs/estatuto_tributario.ht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normograma.dian.gov.co/dian/compilacion/docs/estatuto_tributario.htm" TargetMode="External"/><Relationship Id="rId11" Type="http://schemas.openxmlformats.org/officeDocument/2006/relationships/hyperlink" Target="https://normograma.dian.gov.co/dian/compilacion/docs/estatuto_tributario.htm" TargetMode="External"/><Relationship Id="rId5" Type="http://schemas.openxmlformats.org/officeDocument/2006/relationships/hyperlink" Target="https://normograma.dian.gov.co/dian/compilacion/docs/estatuto_tributario.htm" TargetMode="External"/><Relationship Id="rId15" Type="http://schemas.openxmlformats.org/officeDocument/2006/relationships/hyperlink" Target="https://normograma.dian.gov.co/dian/compilacion/docs/estatuto_tributario.htm" TargetMode="External"/><Relationship Id="rId10" Type="http://schemas.openxmlformats.org/officeDocument/2006/relationships/hyperlink" Target="https://normograma.dian.gov.co/dian/compilacion/docs/estatuto_tributario.htm" TargetMode="External"/><Relationship Id="rId19" Type="http://schemas.openxmlformats.org/officeDocument/2006/relationships/hyperlink" Target="https://actualicese.com/retiro-de-inventarios-para-autoconsumo-dian-cambio-su-postura-frente-a-la-expedicion-de-factura-de-venta/" TargetMode="External"/><Relationship Id="rId4" Type="http://schemas.openxmlformats.org/officeDocument/2006/relationships/hyperlink" Target="https://normograma.dian.gov.co/dian/compilacion/docs/ley_2380_2024.htm" TargetMode="External"/><Relationship Id="rId9" Type="http://schemas.openxmlformats.org/officeDocument/2006/relationships/hyperlink" Target="https://normograma.dian.gov.co/dian/compilacion/docs/estatuto_tributario.htm" TargetMode="External"/><Relationship Id="rId14" Type="http://schemas.openxmlformats.org/officeDocument/2006/relationships/hyperlink" Target="https://normograma.dian.gov.co/dian/compilacion/docs/estatuto_tributario.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1507</Words>
  <Characters>8291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5</cp:revision>
  <dcterms:created xsi:type="dcterms:W3CDTF">2025-09-29T16:25:00Z</dcterms:created>
  <dcterms:modified xsi:type="dcterms:W3CDTF">2025-09-29T18:03:00Z</dcterms:modified>
</cp:coreProperties>
</file>